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51" w:rsidRPr="00216424" w:rsidRDefault="008F6945" w:rsidP="00FB505C">
      <w:pPr>
        <w:spacing w:afterLines="100" w:line="480" w:lineRule="exact"/>
        <w:jc w:val="center"/>
        <w:rPr>
          <w:rFonts w:eastAsia="標楷體"/>
          <w:b/>
          <w:sz w:val="34"/>
        </w:rPr>
      </w:pPr>
      <w:r>
        <w:rPr>
          <w:rFonts w:eastAsia="標楷體" w:hint="eastAsia"/>
          <w:b/>
          <w:sz w:val="34"/>
        </w:rPr>
        <w:t>政治</w:t>
      </w:r>
      <w:r w:rsidR="00216424">
        <w:rPr>
          <w:rFonts w:eastAsia="標楷體" w:hint="eastAsia"/>
          <w:b/>
          <w:sz w:val="34"/>
        </w:rPr>
        <w:t>大學一○五學年度下學期法律學研究所課程</w:t>
      </w:r>
      <w:r w:rsidR="00AE4751">
        <w:rPr>
          <w:rFonts w:eastAsia="標楷體" w:hint="eastAsia"/>
          <w:b/>
          <w:sz w:val="34"/>
        </w:rPr>
        <w:t>大綱</w:t>
      </w:r>
    </w:p>
    <w:p w:rsidR="00AE4751" w:rsidRPr="00E67BC2" w:rsidRDefault="00216424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一、</w:t>
      </w:r>
      <w:r w:rsidR="00AE4751" w:rsidRPr="00E67BC2">
        <w:rPr>
          <w:rFonts w:ascii="華康仿宋體W6" w:eastAsia="華康仿宋體W6" w:hint="eastAsia"/>
          <w:b/>
        </w:rPr>
        <w:t>課程名稱</w:t>
      </w:r>
      <w:r w:rsidRPr="00E67BC2">
        <w:rPr>
          <w:rFonts w:ascii="華康仿宋體W6" w:eastAsia="華康仿宋體W6" w:hint="eastAsia"/>
          <w:b/>
        </w:rPr>
        <w:t>：</w:t>
      </w:r>
      <w:r w:rsidRPr="00E67BC2">
        <w:rPr>
          <w:rFonts w:ascii="標楷體" w:eastAsia="標楷體" w:hAnsi="標楷體" w:hint="eastAsia"/>
        </w:rPr>
        <w:t>中國法律思想史</w:t>
      </w:r>
      <w:r w:rsidR="00312B3E">
        <w:rPr>
          <w:rFonts w:ascii="標楷體" w:eastAsia="標楷體" w:hAnsi="標楷體" w:hint="eastAsia"/>
        </w:rPr>
        <w:t>專題研究</w:t>
      </w:r>
    </w:p>
    <w:p w:rsidR="00AE4751" w:rsidRPr="00E67BC2" w:rsidRDefault="00216424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二、</w:t>
      </w:r>
      <w:r w:rsidR="00AE4751" w:rsidRPr="00E67BC2">
        <w:rPr>
          <w:rFonts w:ascii="華康仿宋體W6" w:eastAsia="華康仿宋體W6" w:hint="eastAsia"/>
          <w:b/>
        </w:rPr>
        <w:t>授課教師：</w:t>
      </w:r>
      <w:r w:rsidR="00AE4751" w:rsidRPr="00E67BC2">
        <w:rPr>
          <w:rFonts w:ascii="標楷體" w:eastAsia="標楷體" w:hAnsi="標楷體" w:hint="eastAsia"/>
        </w:rPr>
        <w:t>黃源盛 教授</w:t>
      </w:r>
    </w:p>
    <w:p w:rsidR="006019AA" w:rsidRPr="00E67BC2" w:rsidRDefault="006019AA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三、學分數：</w:t>
      </w:r>
      <w:r w:rsidRPr="00E67BC2">
        <w:rPr>
          <w:rFonts w:ascii="標楷體" w:eastAsia="標楷體" w:hAnsi="標楷體" w:hint="eastAsia"/>
        </w:rPr>
        <w:t>二學分（選修）</w:t>
      </w:r>
    </w:p>
    <w:p w:rsidR="006019AA" w:rsidRPr="00E67BC2" w:rsidRDefault="006019AA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四、開課對象：</w:t>
      </w:r>
      <w:r w:rsidRPr="00E67BC2">
        <w:rPr>
          <w:rFonts w:ascii="標楷體" w:eastAsia="標楷體" w:hAnsi="標楷體" w:hint="eastAsia"/>
        </w:rPr>
        <w:t>碩士生、博士生 限十人</w:t>
      </w:r>
    </w:p>
    <w:p w:rsidR="00AE4751" w:rsidRPr="00E67BC2" w:rsidRDefault="006019AA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五、</w:t>
      </w:r>
      <w:r w:rsidR="00AE4751" w:rsidRPr="00E67BC2">
        <w:rPr>
          <w:rFonts w:ascii="華康仿宋體W6" w:eastAsia="華康仿宋體W6" w:hint="eastAsia"/>
          <w:b/>
        </w:rPr>
        <w:t>上課時間：</w:t>
      </w:r>
      <w:r w:rsidR="00216424" w:rsidRPr="00E67BC2">
        <w:rPr>
          <w:rFonts w:ascii="標楷體" w:eastAsia="標楷體" w:hAnsi="標楷體" w:hint="eastAsia"/>
        </w:rPr>
        <w:t xml:space="preserve">星期三 </w:t>
      </w:r>
      <w:r w:rsidR="0059091D">
        <w:rPr>
          <w:rFonts w:ascii="標楷體" w:eastAsia="標楷體" w:hAnsi="標楷體" w:hint="eastAsia"/>
        </w:rPr>
        <w:t>15</w:t>
      </w:r>
      <w:r w:rsidR="00216424" w:rsidRPr="00E67BC2">
        <w:rPr>
          <w:rFonts w:ascii="標楷體" w:eastAsia="標楷體" w:hAnsi="標楷體" w:hint="eastAsia"/>
        </w:rPr>
        <w:t>：</w:t>
      </w:r>
      <w:r w:rsidR="0059091D">
        <w:rPr>
          <w:rFonts w:ascii="標楷體" w:eastAsia="標楷體" w:hAnsi="標楷體" w:hint="eastAsia"/>
        </w:rPr>
        <w:t>0</w:t>
      </w:r>
      <w:r w:rsidR="00216424" w:rsidRPr="00E67BC2">
        <w:rPr>
          <w:rFonts w:ascii="標楷體" w:eastAsia="標楷體" w:hAnsi="標楷體" w:hint="eastAsia"/>
        </w:rPr>
        <w:t>0-1</w:t>
      </w:r>
      <w:r w:rsidR="0059091D">
        <w:rPr>
          <w:rFonts w:ascii="標楷體" w:eastAsia="標楷體" w:hAnsi="標楷體" w:hint="eastAsia"/>
        </w:rPr>
        <w:t>8</w:t>
      </w:r>
      <w:r w:rsidR="00216424" w:rsidRPr="00E67BC2">
        <w:rPr>
          <w:rFonts w:ascii="標楷體" w:eastAsia="標楷體" w:hAnsi="標楷體" w:hint="eastAsia"/>
        </w:rPr>
        <w:t>：</w:t>
      </w:r>
      <w:r w:rsidR="0059091D">
        <w:rPr>
          <w:rFonts w:ascii="標楷體" w:eastAsia="標楷體" w:hAnsi="標楷體" w:hint="eastAsia"/>
        </w:rPr>
        <w:t>3</w:t>
      </w:r>
      <w:r w:rsidR="00216424" w:rsidRPr="00E67BC2">
        <w:rPr>
          <w:rFonts w:ascii="標楷體" w:eastAsia="標楷體" w:hAnsi="標楷體" w:hint="eastAsia"/>
        </w:rPr>
        <w:t>0</w:t>
      </w:r>
      <w:r w:rsidRPr="00E67BC2">
        <w:rPr>
          <w:rFonts w:ascii="標楷體" w:eastAsia="標楷體" w:hAnsi="標楷體" w:hint="eastAsia"/>
        </w:rPr>
        <w:t xml:space="preserve"> </w:t>
      </w:r>
      <w:r w:rsidR="00216424" w:rsidRPr="00E67BC2">
        <w:rPr>
          <w:rFonts w:ascii="標楷體" w:eastAsia="標楷體" w:hAnsi="標楷體" w:hint="eastAsia"/>
        </w:rPr>
        <w:t>(</w:t>
      </w:r>
      <w:r w:rsidR="0059091D">
        <w:rPr>
          <w:rFonts w:ascii="標楷體" w:eastAsia="標楷體" w:hAnsi="標楷體" w:hint="eastAsia"/>
        </w:rPr>
        <w:t>單</w:t>
      </w:r>
      <w:r w:rsidR="00216424" w:rsidRPr="00E67BC2">
        <w:rPr>
          <w:rFonts w:ascii="標楷體" w:eastAsia="標楷體" w:hAnsi="標楷體" w:hint="eastAsia"/>
        </w:rPr>
        <w:t>週上課)</w:t>
      </w:r>
    </w:p>
    <w:p w:rsidR="00AE4751" w:rsidRPr="00E67BC2" w:rsidRDefault="006019AA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六、課程主題：</w:t>
      </w:r>
      <w:r w:rsidRPr="00E67BC2">
        <w:rPr>
          <w:rFonts w:ascii="標楷體" w:eastAsia="標楷體" w:hAnsi="標楷體" w:hint="eastAsia"/>
        </w:rPr>
        <w:t>唐律與</w:t>
      </w:r>
      <w:r w:rsidR="00312B3E" w:rsidRPr="00312B3E">
        <w:rPr>
          <w:rFonts w:ascii="標楷體" w:eastAsia="標楷體" w:hAnsi="標楷體" w:hint="eastAsia"/>
          <w:color w:val="FF0000"/>
        </w:rPr>
        <w:t>當代</w:t>
      </w:r>
      <w:r w:rsidRPr="00E67BC2">
        <w:rPr>
          <w:rFonts w:ascii="標楷體" w:eastAsia="標楷體" w:hAnsi="標楷體" w:hint="eastAsia"/>
        </w:rPr>
        <w:t>刑法的比較研究</w:t>
      </w:r>
    </w:p>
    <w:p w:rsidR="00AE4751" w:rsidRPr="00E67BC2" w:rsidRDefault="006019AA" w:rsidP="00FB505C">
      <w:pPr>
        <w:spacing w:afterLines="50"/>
        <w:ind w:leftChars="178" w:left="480" w:hangingChars="22" w:hanging="53"/>
        <w:rPr>
          <w:rFonts w:ascii="華康仿宋體W6" w:eastAsia="華康仿宋體W6"/>
          <w:b/>
        </w:rPr>
      </w:pPr>
      <w:r w:rsidRPr="00E67BC2">
        <w:rPr>
          <w:rFonts w:ascii="華康仿宋體W6" w:eastAsia="華康仿宋體W6" w:hint="eastAsia"/>
          <w:b/>
        </w:rPr>
        <w:t>七、課程說明：</w:t>
      </w:r>
    </w:p>
    <w:p w:rsidR="00AE4751" w:rsidRPr="00E67BC2" w:rsidRDefault="006019AA" w:rsidP="00AE4751">
      <w:pPr>
        <w:ind w:leftChars="200" w:left="480" w:firstLineChars="200" w:firstLine="480"/>
        <w:rPr>
          <w:rFonts w:ascii="標楷體" w:eastAsia="標楷體" w:hAnsi="標楷體"/>
        </w:rPr>
      </w:pPr>
      <w:r w:rsidRPr="00E67BC2">
        <w:rPr>
          <w:rFonts w:ascii="標楷體" w:eastAsia="標楷體" w:hAnsi="標楷體" w:hint="eastAsia"/>
        </w:rPr>
        <w:t>《唐律》</w:t>
      </w:r>
      <w:r w:rsidR="00E67BC2" w:rsidRPr="00E67BC2">
        <w:rPr>
          <w:rFonts w:ascii="標楷體" w:eastAsia="標楷體" w:hAnsi="標楷體" w:hint="eastAsia"/>
        </w:rPr>
        <w:t>為中華法系</w:t>
      </w:r>
      <w:r w:rsidRPr="00E67BC2">
        <w:rPr>
          <w:rFonts w:ascii="標楷體" w:eastAsia="標楷體" w:hAnsi="標楷體" w:hint="eastAsia"/>
        </w:rPr>
        <w:t>法典中的經典之作，與西方的《羅馬法》相互輝映。它</w:t>
      </w:r>
      <w:proofErr w:type="gramStart"/>
      <w:r w:rsidRPr="00E67BC2">
        <w:rPr>
          <w:rFonts w:ascii="標楷體" w:eastAsia="標楷體" w:hAnsi="標楷體" w:hint="eastAsia"/>
        </w:rPr>
        <w:t>上承魏晉</w:t>
      </w:r>
      <w:proofErr w:type="gramEnd"/>
      <w:r w:rsidRPr="00E67BC2">
        <w:rPr>
          <w:rFonts w:ascii="標楷體" w:eastAsia="標楷體" w:hAnsi="標楷體" w:hint="eastAsia"/>
        </w:rPr>
        <w:t>隋餘緒，</w:t>
      </w:r>
      <w:proofErr w:type="gramStart"/>
      <w:r w:rsidRPr="00E67BC2">
        <w:rPr>
          <w:rFonts w:ascii="標楷體" w:eastAsia="標楷體" w:hAnsi="標楷體" w:hint="eastAsia"/>
        </w:rPr>
        <w:t>下啟宋明清</w:t>
      </w:r>
      <w:proofErr w:type="gramEnd"/>
      <w:r w:rsidRPr="00E67BC2">
        <w:rPr>
          <w:rFonts w:ascii="標楷體" w:eastAsia="標楷體" w:hAnsi="標楷體" w:hint="eastAsia"/>
        </w:rPr>
        <w:t>法制的軌範，體大思精，</w:t>
      </w:r>
      <w:proofErr w:type="gramStart"/>
      <w:r w:rsidRPr="00E67BC2">
        <w:rPr>
          <w:rFonts w:ascii="標楷體" w:eastAsia="標楷體" w:hAnsi="標楷體" w:hint="eastAsia"/>
        </w:rPr>
        <w:t>一準乎禮</w:t>
      </w:r>
      <w:proofErr w:type="gramEnd"/>
      <w:r w:rsidRPr="00E67BC2">
        <w:rPr>
          <w:rFonts w:ascii="標楷體" w:eastAsia="標楷體" w:hAnsi="標楷體" w:hint="eastAsia"/>
        </w:rPr>
        <w:t>，是研究傳統中國法律文化最有價值的史料之</w:t>
      </w:r>
      <w:proofErr w:type="gramStart"/>
      <w:r w:rsidRPr="00E67BC2">
        <w:rPr>
          <w:rFonts w:ascii="標楷體" w:eastAsia="標楷體" w:hAnsi="標楷體" w:hint="eastAsia"/>
        </w:rPr>
        <w:t>一</w:t>
      </w:r>
      <w:proofErr w:type="gramEnd"/>
      <w:r w:rsidRPr="00E67BC2">
        <w:rPr>
          <w:rFonts w:ascii="標楷體" w:eastAsia="標楷體" w:hAnsi="標楷體" w:hint="eastAsia"/>
        </w:rPr>
        <w:t>。國人常熱衷於中外法制橫向的比較研究，作為法律繼受的國家，此固可理解；</w:t>
      </w:r>
      <w:proofErr w:type="gramStart"/>
      <w:r w:rsidRPr="00E67BC2">
        <w:rPr>
          <w:rFonts w:ascii="標楷體" w:eastAsia="標楷體" w:hAnsi="標楷體" w:hint="eastAsia"/>
        </w:rPr>
        <w:t>惟</w:t>
      </w:r>
      <w:proofErr w:type="gramEnd"/>
      <w:r w:rsidRPr="00E67BC2">
        <w:rPr>
          <w:rFonts w:ascii="標楷體" w:eastAsia="標楷體" w:hAnsi="標楷體" w:hint="eastAsia"/>
        </w:rPr>
        <w:t>對於古今縱向的比較，理當也有其必要性與重要性。規範的</w:t>
      </w:r>
      <w:r w:rsidR="00312B3E">
        <w:rPr>
          <w:rFonts w:ascii="標楷體" w:eastAsia="標楷體" w:hAnsi="標楷體" w:hint="eastAsia"/>
        </w:rPr>
        <w:t>背後有制度，制度的背後有思想；本課程將側重在《唐律》與台灣現</w:t>
      </w:r>
      <w:r w:rsidR="00312B3E" w:rsidRPr="00312B3E">
        <w:rPr>
          <w:rFonts w:ascii="標楷體" w:eastAsia="標楷體" w:hAnsi="標楷體" w:hint="eastAsia"/>
          <w:color w:val="FF0000"/>
        </w:rPr>
        <w:t>行刑法</w:t>
      </w:r>
      <w:r w:rsidRPr="00312B3E">
        <w:rPr>
          <w:rFonts w:ascii="標楷體" w:eastAsia="標楷體" w:hAnsi="標楷體" w:hint="eastAsia"/>
          <w:color w:val="FF0000"/>
        </w:rPr>
        <w:t>法</w:t>
      </w:r>
      <w:r w:rsidRPr="00E67BC2">
        <w:rPr>
          <w:rFonts w:ascii="標楷體" w:eastAsia="標楷體" w:hAnsi="標楷體" w:hint="eastAsia"/>
        </w:rPr>
        <w:t>理思想面向的探討。</w:t>
      </w:r>
    </w:p>
    <w:p w:rsidR="006019AA" w:rsidRPr="006019AA" w:rsidRDefault="006019AA" w:rsidP="00AE4751">
      <w:pPr>
        <w:ind w:leftChars="200" w:left="480" w:firstLineChars="200" w:firstLine="480"/>
      </w:pPr>
    </w:p>
    <w:p w:rsidR="00E67BC2" w:rsidRPr="00E67BC2" w:rsidRDefault="00E67BC2" w:rsidP="00FB505C">
      <w:pPr>
        <w:spacing w:afterLines="50"/>
        <w:ind w:leftChars="178" w:left="480" w:hangingChars="22" w:hanging="53"/>
        <w:rPr>
          <w:rFonts w:ascii="標楷體" w:eastAsia="標楷體" w:hAnsi="標楷體"/>
        </w:rPr>
      </w:pPr>
      <w:r w:rsidRPr="00E67BC2">
        <w:rPr>
          <w:rFonts w:ascii="華康仿宋體W6" w:eastAsia="華康仿宋體W6" w:hint="eastAsia"/>
          <w:b/>
        </w:rPr>
        <w:t>八、研討子題：</w:t>
      </w:r>
      <w:r w:rsidR="00312B3E">
        <w:rPr>
          <w:rFonts w:ascii="標楷體" w:eastAsia="標楷體" w:hAnsi="標楷體" w:hint="eastAsia"/>
        </w:rPr>
        <w:t>本課程分</w:t>
      </w:r>
      <w:r w:rsidR="00312B3E" w:rsidRPr="00312B3E">
        <w:rPr>
          <w:rFonts w:ascii="標楷體" w:eastAsia="標楷體" w:hAnsi="標楷體" w:hint="eastAsia"/>
          <w:color w:val="FF0000"/>
        </w:rPr>
        <w:t>三</w:t>
      </w:r>
      <w:r w:rsidRPr="00312B3E">
        <w:rPr>
          <w:rFonts w:ascii="標楷體" w:eastAsia="標楷體" w:hAnsi="標楷體" w:hint="eastAsia"/>
          <w:color w:val="FF0000"/>
        </w:rPr>
        <w:t>階</w:t>
      </w:r>
      <w:r w:rsidRPr="00E67BC2">
        <w:rPr>
          <w:rFonts w:ascii="標楷體" w:eastAsia="標楷體" w:hAnsi="標楷體" w:hint="eastAsia"/>
        </w:rPr>
        <w:t>段進行</w:t>
      </w:r>
    </w:p>
    <w:p w:rsidR="00E67BC2" w:rsidRPr="00E67BC2" w:rsidRDefault="00E67BC2" w:rsidP="00FB505C">
      <w:pPr>
        <w:spacing w:afterLines="50"/>
        <w:ind w:leftChars="200" w:left="480"/>
        <w:rPr>
          <w:rFonts w:eastAsia="標楷體"/>
        </w:rPr>
      </w:pPr>
      <w:r w:rsidRPr="00E67BC2">
        <w:rPr>
          <w:rFonts w:eastAsia="標楷體" w:hAnsi="標楷體"/>
        </w:rPr>
        <w:t>（一）第一階段：《唐律‧名例律》及其他各篇相關條文的</w:t>
      </w:r>
      <w:proofErr w:type="gramStart"/>
      <w:r w:rsidRPr="00E67BC2">
        <w:rPr>
          <w:rFonts w:eastAsia="標楷體" w:hAnsi="標楷體"/>
        </w:rPr>
        <w:t>研</w:t>
      </w:r>
      <w:proofErr w:type="gramEnd"/>
      <w:r w:rsidRPr="00E67BC2">
        <w:rPr>
          <w:rFonts w:eastAsia="標楷體" w:hAnsi="標楷體"/>
        </w:rPr>
        <w:t>讀</w:t>
      </w:r>
    </w:p>
    <w:p w:rsidR="00E67BC2" w:rsidRPr="00E67BC2" w:rsidRDefault="00E67BC2" w:rsidP="00FB505C">
      <w:pPr>
        <w:spacing w:afterLines="50"/>
        <w:ind w:leftChars="200" w:left="480"/>
        <w:rPr>
          <w:rFonts w:eastAsia="標楷體"/>
        </w:rPr>
      </w:pPr>
      <w:r w:rsidRPr="00E67BC2">
        <w:rPr>
          <w:rFonts w:eastAsia="標楷體" w:hAnsi="標楷體"/>
        </w:rPr>
        <w:t>（二）第二階段：《唐律》與現行《中華民國刑法》的比較研究</w:t>
      </w:r>
      <w:r w:rsidRPr="00E67BC2">
        <w:rPr>
          <w:rFonts w:eastAsia="標楷體"/>
        </w:rPr>
        <w:t> 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1</w:t>
      </w:r>
      <w:r w:rsidRPr="00E67BC2">
        <w:rPr>
          <w:rFonts w:eastAsia="標楷體" w:hAnsi="標楷體"/>
        </w:rPr>
        <w:t>、刑事立法的基本原則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E67BC2">
        <w:rPr>
          <w:rFonts w:eastAsia="標楷體" w:hAnsi="標楷體"/>
        </w:rPr>
        <w:t>法典編纂體例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E67BC2">
        <w:rPr>
          <w:rFonts w:eastAsia="標楷體" w:hAnsi="標楷體"/>
        </w:rPr>
        <w:t>罪刑法定原則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(3)</w:t>
      </w:r>
      <w:r w:rsidRPr="00E67BC2">
        <w:rPr>
          <w:rFonts w:eastAsia="標楷體" w:hAnsi="標楷體"/>
        </w:rPr>
        <w:t>罪刑均衡原則（立法量化技術運用）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(4)</w:t>
      </w:r>
      <w:r w:rsidRPr="00E67BC2">
        <w:rPr>
          <w:rFonts w:eastAsia="標楷體" w:hAnsi="標楷體"/>
        </w:rPr>
        <w:t>身分秩序與罪刑等差原則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(5)</w:t>
      </w:r>
      <w:r w:rsidRPr="00E67BC2">
        <w:rPr>
          <w:rFonts w:eastAsia="標楷體" w:hAnsi="標楷體"/>
        </w:rPr>
        <w:t>禮</w:t>
      </w:r>
      <w:proofErr w:type="gramStart"/>
      <w:r w:rsidRPr="00E67BC2">
        <w:rPr>
          <w:rFonts w:eastAsia="標楷體" w:hAnsi="標楷體"/>
        </w:rPr>
        <w:t>本刑用原則</w:t>
      </w:r>
      <w:proofErr w:type="gramEnd"/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2</w:t>
      </w:r>
      <w:r w:rsidRPr="00E67BC2">
        <w:rPr>
          <w:rFonts w:eastAsia="標楷體" w:hAnsi="標楷體"/>
        </w:rPr>
        <w:t>、刑法解釋的方法論問題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proofErr w:type="gramStart"/>
      <w:r w:rsidRPr="001C08BE">
        <w:rPr>
          <w:rFonts w:eastAsia="標楷體"/>
        </w:rPr>
        <w:t>斷罪無</w:t>
      </w:r>
      <w:proofErr w:type="gramEnd"/>
      <w:r w:rsidRPr="001C08BE">
        <w:rPr>
          <w:rFonts w:eastAsia="標楷體"/>
        </w:rPr>
        <w:t>正條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不應得為條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(3)</w:t>
      </w:r>
      <w:r w:rsidRPr="001C08BE">
        <w:rPr>
          <w:rFonts w:eastAsia="標楷體"/>
        </w:rPr>
        <w:t>輕重</w:t>
      </w:r>
      <w:proofErr w:type="gramStart"/>
      <w:r w:rsidRPr="001C08BE">
        <w:rPr>
          <w:rFonts w:eastAsia="標楷體"/>
        </w:rPr>
        <w:t>相舉條</w:t>
      </w:r>
      <w:proofErr w:type="gramEnd"/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3</w:t>
      </w:r>
      <w:r w:rsidRPr="00E67BC2">
        <w:rPr>
          <w:rFonts w:eastAsia="標楷體" w:hAnsi="標楷體"/>
        </w:rPr>
        <w:t>、構成要件該當性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1C08BE">
        <w:rPr>
          <w:rFonts w:eastAsia="標楷體"/>
        </w:rPr>
        <w:t>故意與過失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錯誤的法理與應用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lastRenderedPageBreak/>
        <w:t>(3)</w:t>
      </w:r>
      <w:r w:rsidRPr="001C08BE">
        <w:rPr>
          <w:rFonts w:eastAsia="標楷體"/>
        </w:rPr>
        <w:t>因果關係與保</w:t>
      </w:r>
      <w:proofErr w:type="gramStart"/>
      <w:r w:rsidRPr="001C08BE">
        <w:rPr>
          <w:rFonts w:eastAsia="標楷體"/>
        </w:rPr>
        <w:t>辜</w:t>
      </w:r>
      <w:proofErr w:type="gramEnd"/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(4)</w:t>
      </w:r>
      <w:r w:rsidRPr="001C08BE">
        <w:rPr>
          <w:rFonts w:eastAsia="標楷體"/>
        </w:rPr>
        <w:t>不作為犯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4</w:t>
      </w:r>
      <w:r w:rsidRPr="00E67BC2">
        <w:rPr>
          <w:rFonts w:eastAsia="標楷體" w:hAnsi="標楷體"/>
        </w:rPr>
        <w:t>、阻卻違法事由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1C08BE">
        <w:rPr>
          <w:rFonts w:eastAsia="標楷體"/>
        </w:rPr>
        <w:t>正當防衛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緊急避難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5</w:t>
      </w:r>
      <w:r w:rsidRPr="00E67BC2">
        <w:rPr>
          <w:rFonts w:eastAsia="標楷體" w:hAnsi="標楷體"/>
        </w:rPr>
        <w:t>、犯罪的發展階段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1C08BE">
        <w:rPr>
          <w:rFonts w:eastAsia="標楷體"/>
        </w:rPr>
        <w:t>著手實行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障礙未遂、中止未遂、不能未遂與迷信犯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6</w:t>
      </w:r>
      <w:r w:rsidRPr="00E67BC2">
        <w:rPr>
          <w:rFonts w:eastAsia="標楷體" w:hAnsi="標楷體"/>
        </w:rPr>
        <w:t>、共犯與身分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1C08BE">
        <w:rPr>
          <w:rFonts w:eastAsia="標楷體"/>
        </w:rPr>
        <w:t>身分關係與共犯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正犯與共犯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7</w:t>
      </w:r>
      <w:r w:rsidRPr="00E67BC2">
        <w:rPr>
          <w:rFonts w:eastAsia="標楷體" w:hAnsi="標楷體"/>
        </w:rPr>
        <w:t>、</w:t>
      </w:r>
      <w:proofErr w:type="gramStart"/>
      <w:r w:rsidRPr="00E67BC2">
        <w:rPr>
          <w:rFonts w:eastAsia="標楷體" w:hAnsi="標楷體"/>
        </w:rPr>
        <w:t>罪數競合</w:t>
      </w:r>
      <w:proofErr w:type="gramEnd"/>
      <w:r w:rsidRPr="00E67BC2">
        <w:rPr>
          <w:rFonts w:eastAsia="標楷體" w:hAnsi="標楷體"/>
        </w:rPr>
        <w:t>論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1C08BE">
        <w:rPr>
          <w:rFonts w:eastAsia="標楷體"/>
        </w:rPr>
        <w:t>二罪</w:t>
      </w:r>
      <w:proofErr w:type="gramStart"/>
      <w:r w:rsidRPr="001C08BE">
        <w:rPr>
          <w:rFonts w:eastAsia="標楷體"/>
        </w:rPr>
        <w:t>以上俱發</w:t>
      </w:r>
      <w:proofErr w:type="gramEnd"/>
      <w:r w:rsidRPr="00E67BC2">
        <w:rPr>
          <w:rFonts w:eastAsia="標楷體"/>
        </w:rPr>
        <w:t>vs.</w:t>
      </w:r>
      <w:r w:rsidRPr="001C08BE">
        <w:rPr>
          <w:rFonts w:eastAsia="標楷體"/>
        </w:rPr>
        <w:t>實質競合犯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一事分為兩罪</w:t>
      </w:r>
      <w:r w:rsidRPr="00E67BC2">
        <w:rPr>
          <w:rFonts w:eastAsia="標楷體"/>
        </w:rPr>
        <w:t>vs.</w:t>
      </w:r>
      <w:r w:rsidRPr="001C08BE">
        <w:rPr>
          <w:rFonts w:eastAsia="標楷體"/>
        </w:rPr>
        <w:t>想像競合犯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(3)</w:t>
      </w:r>
      <w:r w:rsidRPr="001C08BE">
        <w:rPr>
          <w:rFonts w:eastAsia="標楷體"/>
        </w:rPr>
        <w:t>二罪從重</w:t>
      </w:r>
      <w:proofErr w:type="gramStart"/>
      <w:r w:rsidRPr="001C08BE">
        <w:rPr>
          <w:rFonts w:eastAsia="標楷體"/>
        </w:rPr>
        <w:t>與頻犯</w:t>
      </w:r>
      <w:proofErr w:type="gramEnd"/>
      <w:r w:rsidRPr="00E67BC2">
        <w:rPr>
          <w:rFonts w:eastAsia="標楷體"/>
        </w:rPr>
        <w:t>vs.</w:t>
      </w:r>
      <w:r w:rsidRPr="001C08BE">
        <w:rPr>
          <w:rFonts w:eastAsia="標楷體"/>
        </w:rPr>
        <w:t>法條競合與連續犯</w:t>
      </w:r>
    </w:p>
    <w:p w:rsidR="00E67BC2" w:rsidRPr="00E67BC2" w:rsidRDefault="00E67BC2" w:rsidP="001C08BE">
      <w:pPr>
        <w:ind w:leftChars="200" w:left="480" w:firstLineChars="154" w:firstLine="370"/>
        <w:rPr>
          <w:rFonts w:eastAsia="標楷體"/>
        </w:rPr>
      </w:pPr>
      <w:r w:rsidRPr="00E67BC2">
        <w:rPr>
          <w:rFonts w:eastAsia="標楷體"/>
        </w:rPr>
        <w:t>8</w:t>
      </w:r>
      <w:r w:rsidRPr="00E67BC2">
        <w:rPr>
          <w:rFonts w:eastAsia="標楷體" w:hAnsi="標楷體"/>
        </w:rPr>
        <w:t>、刑罰的體系與運用</w:t>
      </w:r>
      <w:r w:rsidRPr="00E67BC2">
        <w:rPr>
          <w:rFonts w:eastAsia="標楷體"/>
        </w:rPr>
        <w:t xml:space="preserve"> 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(1)</w:t>
      </w:r>
      <w:r w:rsidRPr="001C08BE">
        <w:rPr>
          <w:rFonts w:eastAsia="標楷體"/>
        </w:rPr>
        <w:t>刑罰種類及其本質</w:t>
      </w:r>
    </w:p>
    <w:p w:rsidR="00E67BC2" w:rsidRPr="00E67BC2" w:rsidRDefault="00E67BC2" w:rsidP="001C08BE">
      <w:pPr>
        <w:ind w:leftChars="354" w:left="850" w:firstLine="283"/>
        <w:rPr>
          <w:rFonts w:eastAsia="標楷體"/>
        </w:rPr>
      </w:pPr>
      <w:r w:rsidRPr="00E67BC2">
        <w:rPr>
          <w:rFonts w:eastAsia="標楷體"/>
        </w:rPr>
        <w:t>(2)</w:t>
      </w:r>
      <w:r w:rsidRPr="001C08BE">
        <w:rPr>
          <w:rFonts w:eastAsia="標楷體"/>
        </w:rPr>
        <w:t>刑之加減</w:t>
      </w:r>
    </w:p>
    <w:p w:rsidR="00E67BC2" w:rsidRPr="00E67BC2" w:rsidRDefault="00E67BC2" w:rsidP="00FB505C">
      <w:pPr>
        <w:spacing w:afterLines="50"/>
        <w:ind w:leftChars="200" w:left="480"/>
        <w:rPr>
          <w:rFonts w:eastAsia="標楷體"/>
        </w:rPr>
      </w:pPr>
      <w:r w:rsidRPr="00E67BC2">
        <w:rPr>
          <w:rFonts w:eastAsia="標楷體" w:hAnsi="標楷體"/>
        </w:rPr>
        <w:t>（三）第三階段：選修同學的書面報告</w:t>
      </w:r>
    </w:p>
    <w:p w:rsidR="00AE4751" w:rsidRPr="00E67BC2" w:rsidRDefault="00AE4751" w:rsidP="00E67BC2"/>
    <w:p w:rsidR="00AE4751" w:rsidRDefault="00E67BC2" w:rsidP="00FB505C">
      <w:pPr>
        <w:spacing w:afterLines="50"/>
        <w:rPr>
          <w:rFonts w:ascii="華康仿宋體W6" w:eastAsia="華康仿宋體W6"/>
        </w:rPr>
      </w:pPr>
      <w:r w:rsidRPr="00E67BC2">
        <w:rPr>
          <w:rFonts w:ascii="華康仿宋體W6" w:eastAsia="華康仿宋體W6" w:hint="eastAsia"/>
          <w:b/>
        </w:rPr>
        <w:t>九</w:t>
      </w:r>
      <w:r w:rsidR="00AE4751" w:rsidRPr="00E67BC2">
        <w:rPr>
          <w:rFonts w:ascii="華康仿宋體W6" w:eastAsia="華康仿宋體W6" w:hint="eastAsia"/>
          <w:b/>
        </w:rPr>
        <w:t>、</w:t>
      </w:r>
      <w:r w:rsidRPr="00E67BC2">
        <w:rPr>
          <w:rFonts w:ascii="華康仿宋體W6" w:eastAsia="華康仿宋體W6" w:hint="eastAsia"/>
          <w:b/>
        </w:rPr>
        <w:t>主要</w:t>
      </w:r>
      <w:r w:rsidR="00AE4751" w:rsidRPr="00E67BC2">
        <w:rPr>
          <w:rFonts w:ascii="華康仿宋體W6" w:eastAsia="華康仿宋體W6" w:hint="eastAsia"/>
          <w:b/>
        </w:rPr>
        <w:t>參考書目：</w:t>
      </w:r>
      <w:r w:rsidR="00312B3E">
        <w:rPr>
          <w:rFonts w:ascii="華康仿宋體W6" w:eastAsia="華康仿宋體W6" w:hint="eastAsia"/>
        </w:rPr>
        <w:t>其他參考文獻隨</w:t>
      </w:r>
      <w:r w:rsidR="00312B3E" w:rsidRPr="00312B3E">
        <w:rPr>
          <w:rFonts w:ascii="華康仿宋體W6" w:eastAsia="華康仿宋體W6" w:hint="eastAsia"/>
          <w:color w:val="FF0000"/>
        </w:rPr>
        <w:t>課堂</w:t>
      </w:r>
      <w:r w:rsidRPr="00E67BC2">
        <w:rPr>
          <w:rFonts w:ascii="華康仿宋體W6" w:eastAsia="華康仿宋體W6" w:hint="eastAsia"/>
        </w:rPr>
        <w:t>進度指定發放</w:t>
      </w:r>
    </w:p>
    <w:p w:rsidR="00E67BC2" w:rsidRPr="001C08BE" w:rsidRDefault="001C08BE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</w:t>
      </w:r>
      <w:r w:rsidR="00E67BC2" w:rsidRPr="001C08BE">
        <w:rPr>
          <w:rFonts w:eastAsia="標楷體" w:hAnsi="標楷體"/>
        </w:rPr>
        <w:t>一）長孫無</w:t>
      </w:r>
      <w:proofErr w:type="gramStart"/>
      <w:r w:rsidR="00E67BC2" w:rsidRPr="001C08BE">
        <w:rPr>
          <w:rFonts w:eastAsia="標楷體" w:hAnsi="標楷體"/>
        </w:rPr>
        <w:t>忌等撰</w:t>
      </w:r>
      <w:proofErr w:type="gramEnd"/>
      <w:r w:rsidR="00E67BC2" w:rsidRPr="001C08BE">
        <w:rPr>
          <w:rFonts w:eastAsia="標楷體" w:hAnsi="標楷體"/>
        </w:rPr>
        <w:t>，《唐律疏議》，台北：台灣商務印書館，</w:t>
      </w:r>
      <w:proofErr w:type="gramStart"/>
      <w:r w:rsidR="00E67BC2" w:rsidRPr="001C08BE">
        <w:rPr>
          <w:rFonts w:eastAsia="標楷體" w:hAnsi="標楷體"/>
        </w:rPr>
        <w:t>最</w:t>
      </w:r>
      <w:proofErr w:type="gramEnd"/>
      <w:r w:rsidR="00E67BC2" w:rsidRPr="001C08BE">
        <w:rPr>
          <w:rFonts w:eastAsia="標楷體" w:hAnsi="標楷體"/>
        </w:rPr>
        <w:t>新版。</w:t>
      </w:r>
      <w:r w:rsidR="00E67BC2"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（二）</w:t>
      </w:r>
      <w:proofErr w:type="gramStart"/>
      <w:r w:rsidRPr="001C08BE">
        <w:rPr>
          <w:rFonts w:eastAsia="標楷體" w:hAnsi="標楷體"/>
        </w:rPr>
        <w:t>戴炎輝著</w:t>
      </w:r>
      <w:proofErr w:type="gramEnd"/>
      <w:r w:rsidRPr="001C08BE">
        <w:rPr>
          <w:rFonts w:eastAsia="標楷體" w:hAnsi="標楷體"/>
        </w:rPr>
        <w:t>；戴東雄、黃源盛校訂，《唐律通論》，台北：元照出版社，</w:t>
      </w:r>
      <w:r w:rsidRPr="001C08BE">
        <w:rPr>
          <w:rFonts w:eastAsia="標楷體"/>
        </w:rPr>
        <w:t>2010</w:t>
      </w:r>
      <w:r w:rsidRPr="001C08BE">
        <w:rPr>
          <w:rFonts w:eastAsia="標楷體" w:hAnsi="標楷體"/>
        </w:rPr>
        <w:t>年</w:t>
      </w:r>
      <w:r w:rsidRPr="001C08BE">
        <w:rPr>
          <w:rFonts w:eastAsia="標楷體"/>
        </w:rPr>
        <w:t>1</w:t>
      </w:r>
      <w:r w:rsidRPr="001C08BE">
        <w:rPr>
          <w:rFonts w:eastAsia="標楷體" w:hAnsi="標楷體"/>
        </w:rPr>
        <w:t>月新版。</w:t>
      </w:r>
      <w:r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（三）</w:t>
      </w:r>
      <w:proofErr w:type="gramStart"/>
      <w:r w:rsidRPr="001C08BE">
        <w:rPr>
          <w:rFonts w:eastAsia="標楷體" w:hAnsi="標楷體"/>
        </w:rPr>
        <w:t>戴炎輝著</w:t>
      </w:r>
      <w:proofErr w:type="gramEnd"/>
      <w:r w:rsidRPr="001C08BE">
        <w:rPr>
          <w:rFonts w:eastAsia="標楷體" w:hAnsi="標楷體"/>
        </w:rPr>
        <w:t>，《唐律各論》（上、下），台北：成文出版社，民國</w:t>
      </w:r>
      <w:r w:rsidRPr="001C08BE">
        <w:rPr>
          <w:rFonts w:eastAsia="標楷體"/>
        </w:rPr>
        <w:t>77</w:t>
      </w:r>
      <w:r w:rsidRPr="001C08BE">
        <w:rPr>
          <w:rFonts w:eastAsia="標楷體" w:hAnsi="標楷體"/>
        </w:rPr>
        <w:t>年</w:t>
      </w:r>
      <w:r w:rsidRPr="001C08BE">
        <w:rPr>
          <w:rFonts w:eastAsia="標楷體"/>
        </w:rPr>
        <w:t>5</w:t>
      </w:r>
      <w:r w:rsidRPr="001C08BE">
        <w:rPr>
          <w:rFonts w:eastAsia="標楷體" w:hAnsi="標楷體"/>
        </w:rPr>
        <w:t>月增訂版。</w:t>
      </w:r>
      <w:r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（四）劉俊文撰，《唐律疏議箋解》（上、下），北京：中華書局，</w:t>
      </w:r>
      <w:r w:rsidRPr="001C08BE">
        <w:rPr>
          <w:rFonts w:eastAsia="標楷體"/>
        </w:rPr>
        <w:t>1996</w:t>
      </w:r>
      <w:r w:rsidRPr="001C08BE">
        <w:rPr>
          <w:rFonts w:eastAsia="標楷體" w:hAnsi="標楷體"/>
        </w:rPr>
        <w:t>年</w:t>
      </w:r>
      <w:r w:rsidRPr="001C08BE">
        <w:rPr>
          <w:rFonts w:eastAsia="標楷體"/>
        </w:rPr>
        <w:t>6</w:t>
      </w:r>
      <w:r w:rsidRPr="001C08BE">
        <w:rPr>
          <w:rFonts w:eastAsia="標楷體" w:hAnsi="標楷體"/>
        </w:rPr>
        <w:t>月。</w:t>
      </w:r>
      <w:r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（五）</w:t>
      </w:r>
      <w:proofErr w:type="gramStart"/>
      <w:r w:rsidRPr="001C08BE">
        <w:rPr>
          <w:rFonts w:eastAsia="標楷體" w:hAnsi="標楷體"/>
        </w:rPr>
        <w:t>蔡</w:t>
      </w:r>
      <w:proofErr w:type="gramEnd"/>
      <w:r w:rsidRPr="001C08BE">
        <w:rPr>
          <w:rFonts w:eastAsia="標楷體" w:hAnsi="標楷體"/>
        </w:rPr>
        <w:t>墩</w:t>
      </w:r>
      <w:proofErr w:type="gramStart"/>
      <w:r w:rsidRPr="001C08BE">
        <w:rPr>
          <w:rFonts w:eastAsia="標楷體" w:hAnsi="標楷體"/>
        </w:rPr>
        <w:t>銘著</w:t>
      </w:r>
      <w:proofErr w:type="gramEnd"/>
      <w:r w:rsidRPr="001C08BE">
        <w:rPr>
          <w:rFonts w:eastAsia="標楷體" w:hAnsi="標楷體"/>
        </w:rPr>
        <w:t>，《唐律與近世刑事立法之比較研究》，台北：</w:t>
      </w:r>
      <w:r w:rsidR="00312B3E" w:rsidRPr="00312B3E">
        <w:rPr>
          <w:rFonts w:eastAsia="標楷體" w:hAnsi="標楷體" w:hint="eastAsia"/>
          <w:color w:val="FF0000"/>
        </w:rPr>
        <w:t>台灣</w:t>
      </w:r>
      <w:r w:rsidRPr="001C08BE">
        <w:rPr>
          <w:rFonts w:eastAsia="標楷體" w:hAnsi="標楷體"/>
        </w:rPr>
        <w:t>商務印書館經銷。</w:t>
      </w:r>
      <w:r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（六）</w:t>
      </w:r>
      <w:proofErr w:type="gramStart"/>
      <w:r w:rsidRPr="001C08BE">
        <w:rPr>
          <w:rFonts w:eastAsia="標楷體" w:hAnsi="標楷體"/>
        </w:rPr>
        <w:t>黃源盛著</w:t>
      </w:r>
      <w:proofErr w:type="gramEnd"/>
      <w:r w:rsidRPr="001C08BE">
        <w:rPr>
          <w:rFonts w:eastAsia="標楷體" w:hAnsi="標楷體"/>
        </w:rPr>
        <w:t>，《漢唐法制與儒家傳統》，台北：元照出版</w:t>
      </w:r>
      <w:r w:rsidR="00312B3E" w:rsidRPr="00312B3E">
        <w:rPr>
          <w:rFonts w:eastAsia="標楷體" w:hAnsi="標楷體" w:hint="eastAsia"/>
          <w:color w:val="FF0000"/>
        </w:rPr>
        <w:t>社</w:t>
      </w:r>
      <w:r w:rsidRPr="001C08BE">
        <w:rPr>
          <w:rFonts w:eastAsia="標楷體" w:hAnsi="標楷體"/>
        </w:rPr>
        <w:t>，</w:t>
      </w:r>
      <w:r w:rsidRPr="001C08BE">
        <w:rPr>
          <w:rFonts w:eastAsia="標楷體"/>
        </w:rPr>
        <w:t>2009</w:t>
      </w:r>
      <w:r w:rsidRPr="001C08BE">
        <w:rPr>
          <w:rFonts w:eastAsia="標楷體" w:hAnsi="標楷體"/>
        </w:rPr>
        <w:t>年</w:t>
      </w:r>
      <w:r w:rsidRPr="001C08BE">
        <w:rPr>
          <w:rFonts w:eastAsia="標楷體"/>
        </w:rPr>
        <w:t>3</w:t>
      </w:r>
      <w:r w:rsidRPr="001C08BE">
        <w:rPr>
          <w:rFonts w:eastAsia="標楷體" w:hAnsi="標楷體"/>
        </w:rPr>
        <w:t>月。</w:t>
      </w:r>
      <w:r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（七）</w:t>
      </w:r>
      <w:proofErr w:type="gramStart"/>
      <w:r w:rsidRPr="001C08BE">
        <w:rPr>
          <w:rFonts w:eastAsia="標楷體" w:hAnsi="標楷體"/>
        </w:rPr>
        <w:t>高明士</w:t>
      </w:r>
      <w:r w:rsidR="001C08BE">
        <w:rPr>
          <w:rFonts w:eastAsia="標楷體" w:hAnsi="標楷體" w:hint="eastAsia"/>
        </w:rPr>
        <w:t>著</w:t>
      </w:r>
      <w:proofErr w:type="gramEnd"/>
      <w:r w:rsidR="001C08BE">
        <w:rPr>
          <w:rFonts w:eastAsia="標楷體" w:hAnsi="標楷體"/>
        </w:rPr>
        <w:t>，《</w:t>
      </w:r>
      <w:r w:rsidR="001C08BE">
        <w:rPr>
          <w:rFonts w:eastAsia="標楷體" w:hAnsi="標楷體" w:hint="eastAsia"/>
        </w:rPr>
        <w:t>中</w:t>
      </w:r>
      <w:r w:rsidRPr="001C08BE">
        <w:rPr>
          <w:rFonts w:eastAsia="標楷體" w:hAnsi="標楷體"/>
        </w:rPr>
        <w:t>國</w:t>
      </w:r>
      <w:r w:rsidR="001C08BE">
        <w:rPr>
          <w:rFonts w:eastAsia="標楷體" w:hAnsi="標楷體" w:hint="eastAsia"/>
        </w:rPr>
        <w:t>中古禮律綜論</w:t>
      </w:r>
      <w:r w:rsidR="001C08BE">
        <w:rPr>
          <w:rFonts w:eastAsia="標楷體" w:hAnsi="標楷體"/>
        </w:rPr>
        <w:t>》，台北：</w:t>
      </w:r>
      <w:r w:rsidR="001C08BE">
        <w:rPr>
          <w:rFonts w:eastAsia="標楷體" w:hAnsi="標楷體" w:hint="eastAsia"/>
        </w:rPr>
        <w:t>元照出版社</w:t>
      </w:r>
      <w:r w:rsidRPr="001C08BE">
        <w:rPr>
          <w:rFonts w:eastAsia="標楷體" w:hAnsi="標楷體"/>
        </w:rPr>
        <w:t>，</w:t>
      </w:r>
      <w:r w:rsidR="001C08BE">
        <w:rPr>
          <w:rFonts w:eastAsia="標楷體" w:hAnsi="標楷體" w:hint="eastAsia"/>
        </w:rPr>
        <w:t>2014</w:t>
      </w:r>
      <w:r w:rsidRPr="001C08BE">
        <w:rPr>
          <w:rFonts w:eastAsia="標楷體" w:hAnsi="標楷體"/>
        </w:rPr>
        <w:t>年</w:t>
      </w:r>
      <w:r w:rsidRPr="001C08BE">
        <w:rPr>
          <w:rFonts w:eastAsia="標楷體"/>
        </w:rPr>
        <w:t>1</w:t>
      </w:r>
      <w:r w:rsidR="001C08BE">
        <w:rPr>
          <w:rFonts w:eastAsia="標楷體" w:hint="eastAsia"/>
        </w:rPr>
        <w:t>0</w:t>
      </w:r>
      <w:r w:rsidRPr="001C08BE">
        <w:rPr>
          <w:rFonts w:eastAsia="標楷體" w:hAnsi="標楷體"/>
        </w:rPr>
        <w:t>月。</w:t>
      </w:r>
      <w:r w:rsidRPr="001C08BE">
        <w:rPr>
          <w:rFonts w:eastAsia="標楷體"/>
        </w:rPr>
        <w:t xml:space="preserve"> 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（八）</w:t>
      </w:r>
      <w:r w:rsidR="001C08BE" w:rsidRPr="001C08BE">
        <w:rPr>
          <w:rFonts w:eastAsia="標楷體" w:hAnsi="標楷體"/>
        </w:rPr>
        <w:t>錢大群、</w:t>
      </w:r>
      <w:proofErr w:type="gramStart"/>
      <w:r w:rsidR="001C08BE" w:rsidRPr="001C08BE">
        <w:rPr>
          <w:rFonts w:eastAsia="標楷體" w:hAnsi="標楷體"/>
        </w:rPr>
        <w:t>夏錦文著</w:t>
      </w:r>
      <w:proofErr w:type="gramEnd"/>
      <w:r w:rsidR="001C08BE" w:rsidRPr="001C08BE">
        <w:rPr>
          <w:rFonts w:eastAsia="標楷體" w:hAnsi="標楷體"/>
        </w:rPr>
        <w:t>，《唐律與中國現行刑法比較論》，南京：江蘇人民出版社，</w:t>
      </w:r>
      <w:r w:rsidR="001C08BE" w:rsidRPr="001C08BE">
        <w:rPr>
          <w:rFonts w:eastAsia="標楷體"/>
        </w:rPr>
        <w:t>1991</w:t>
      </w:r>
      <w:r w:rsidR="001C08BE" w:rsidRPr="001C08BE">
        <w:rPr>
          <w:rFonts w:eastAsia="標楷體" w:hAnsi="標楷體"/>
        </w:rPr>
        <w:t>年</w:t>
      </w:r>
      <w:r w:rsidR="001C08BE" w:rsidRPr="001C08BE">
        <w:rPr>
          <w:rFonts w:eastAsia="標楷體"/>
        </w:rPr>
        <w:t>9</w:t>
      </w:r>
      <w:r w:rsidR="001C08BE" w:rsidRPr="001C08BE">
        <w:rPr>
          <w:rFonts w:eastAsia="標楷體" w:hAnsi="標楷體"/>
        </w:rPr>
        <w:t>月。</w:t>
      </w:r>
    </w:p>
    <w:p w:rsidR="00E67BC2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（九）</w:t>
      </w:r>
      <w:r w:rsidR="001C08BE" w:rsidRPr="001C08BE">
        <w:rPr>
          <w:rFonts w:eastAsia="標楷體" w:hAnsi="標楷體"/>
        </w:rPr>
        <w:t>錢大群</w:t>
      </w:r>
      <w:r w:rsidR="001C08BE">
        <w:rPr>
          <w:rFonts w:eastAsia="標楷體" w:hAnsi="標楷體" w:hint="eastAsia"/>
        </w:rPr>
        <w:t>，</w:t>
      </w:r>
      <w:r w:rsidR="001C08BE">
        <w:rPr>
          <w:rFonts w:eastAsia="標楷體" w:hAnsi="標楷體"/>
        </w:rPr>
        <w:t>《唐律與</w:t>
      </w:r>
      <w:r w:rsidR="00312B3E">
        <w:rPr>
          <w:rFonts w:eastAsia="標楷體" w:hAnsi="標楷體" w:hint="eastAsia"/>
        </w:rPr>
        <w:t>唐代法制考</w:t>
      </w:r>
      <w:r w:rsidR="00312B3E" w:rsidRPr="00312B3E">
        <w:rPr>
          <w:rFonts w:eastAsia="標楷體" w:hAnsi="標楷體" w:hint="eastAsia"/>
          <w:color w:val="FF0000"/>
        </w:rPr>
        <w:t>辨</w:t>
      </w:r>
      <w:r w:rsidR="001C08BE" w:rsidRPr="001C08BE">
        <w:rPr>
          <w:rFonts w:eastAsia="標楷體" w:hAnsi="標楷體"/>
        </w:rPr>
        <w:t>》，</w:t>
      </w:r>
      <w:r w:rsidR="001C08BE">
        <w:rPr>
          <w:rFonts w:eastAsia="標楷體" w:hAnsi="標楷體" w:hint="eastAsia"/>
        </w:rPr>
        <w:t>北京：社會科學文獻出版社，</w:t>
      </w:r>
      <w:r w:rsidR="001C08BE">
        <w:rPr>
          <w:rFonts w:eastAsia="標楷體" w:hAnsi="標楷體" w:hint="eastAsia"/>
        </w:rPr>
        <w:t>2013</w:t>
      </w:r>
      <w:r w:rsidR="001C08BE">
        <w:rPr>
          <w:rFonts w:eastAsia="標楷體" w:hAnsi="標楷體" w:hint="eastAsia"/>
        </w:rPr>
        <w:t>年</w:t>
      </w:r>
      <w:r w:rsidR="001C08BE">
        <w:rPr>
          <w:rFonts w:eastAsia="標楷體" w:hAnsi="標楷體" w:hint="eastAsia"/>
        </w:rPr>
        <w:t>11</w:t>
      </w:r>
      <w:r w:rsidR="001C08BE">
        <w:rPr>
          <w:rFonts w:eastAsia="標楷體" w:hAnsi="標楷體" w:hint="eastAsia"/>
        </w:rPr>
        <w:t>月。</w:t>
      </w:r>
    </w:p>
    <w:p w:rsidR="00312B3E" w:rsidRPr="001C08BE" w:rsidRDefault="00E67BC2" w:rsidP="001C08BE">
      <w:pPr>
        <w:ind w:left="708" w:hangingChars="295" w:hanging="708"/>
        <w:rPr>
          <w:rFonts w:eastAsia="標楷體"/>
        </w:rPr>
      </w:pPr>
      <w:r w:rsidRPr="001C08BE">
        <w:rPr>
          <w:rFonts w:eastAsia="標楷體" w:hAnsi="標楷體"/>
        </w:rPr>
        <w:t>（十）黃源盛纂輯，《晚清民國刑法史料輯注》，台北：元照出版，</w:t>
      </w:r>
      <w:r w:rsidRPr="001C08BE">
        <w:rPr>
          <w:rFonts w:eastAsia="標楷體"/>
        </w:rPr>
        <w:t>2010</w:t>
      </w:r>
      <w:r w:rsidRPr="001C08BE">
        <w:rPr>
          <w:rFonts w:eastAsia="標楷體" w:hAnsi="標楷體"/>
        </w:rPr>
        <w:t>年</w:t>
      </w:r>
      <w:r w:rsidRPr="001C08BE">
        <w:rPr>
          <w:rFonts w:eastAsia="標楷體"/>
        </w:rPr>
        <w:t>7</w:t>
      </w:r>
      <w:r w:rsidRPr="001C08BE">
        <w:rPr>
          <w:rFonts w:eastAsia="標楷體" w:hAnsi="標楷體"/>
        </w:rPr>
        <w:t>月。</w:t>
      </w:r>
    </w:p>
    <w:p w:rsidR="00AE4751" w:rsidRDefault="00AE4751" w:rsidP="00AE4751">
      <w:pPr>
        <w:ind w:left="480"/>
      </w:pPr>
    </w:p>
    <w:p w:rsidR="00D679AE" w:rsidRDefault="00E9320D" w:rsidP="00FB505C">
      <w:pPr>
        <w:spacing w:afterLines="50"/>
        <w:rPr>
          <w:rFonts w:ascii="華康仿宋體W6" w:eastAsia="華康仿宋體W6"/>
          <w:b/>
        </w:rPr>
      </w:pPr>
      <w:r>
        <w:rPr>
          <w:rFonts w:ascii="華康仿宋體W6" w:eastAsia="華康仿宋體W6" w:hint="eastAsia"/>
          <w:b/>
        </w:rPr>
        <w:t>十</w:t>
      </w:r>
      <w:r w:rsidRPr="00E67BC2">
        <w:rPr>
          <w:rFonts w:ascii="華康仿宋體W6" w:eastAsia="華康仿宋體W6" w:hint="eastAsia"/>
          <w:b/>
        </w:rPr>
        <w:t>、</w:t>
      </w:r>
      <w:r>
        <w:rPr>
          <w:rFonts w:ascii="華康仿宋體W6" w:eastAsia="華康仿宋體W6" w:hint="eastAsia"/>
          <w:b/>
        </w:rPr>
        <w:t>教學方式與成績考核</w:t>
      </w:r>
      <w:r w:rsidRPr="00E67BC2">
        <w:rPr>
          <w:rFonts w:ascii="華康仿宋體W6" w:eastAsia="華康仿宋體W6" w:hint="eastAsia"/>
          <w:b/>
        </w:rPr>
        <w:t>：</w:t>
      </w:r>
    </w:p>
    <w:p w:rsidR="00E9320D" w:rsidRDefault="00E9320D" w:rsidP="00E9320D">
      <w:pPr>
        <w:ind w:left="708" w:hangingChars="295" w:hanging="708"/>
        <w:rPr>
          <w:rFonts w:eastAsia="標楷體" w:hAnsi="標楷體"/>
        </w:rPr>
      </w:pPr>
      <w:r>
        <w:rPr>
          <w:rFonts w:eastAsia="標楷體" w:hAnsi="標楷體" w:hint="eastAsia"/>
        </w:rPr>
        <w:t>（一）本課程</w:t>
      </w:r>
      <w:proofErr w:type="gramStart"/>
      <w:r>
        <w:rPr>
          <w:rFonts w:eastAsia="標楷體" w:hAnsi="標楷體" w:hint="eastAsia"/>
        </w:rPr>
        <w:t>採</w:t>
      </w:r>
      <w:proofErr w:type="gramEnd"/>
      <w:r>
        <w:rPr>
          <w:rFonts w:eastAsia="標楷體" w:hAnsi="標楷體" w:hint="eastAsia"/>
        </w:rPr>
        <w:t>隔</w:t>
      </w:r>
      <w:proofErr w:type="gramStart"/>
      <w:r>
        <w:rPr>
          <w:rFonts w:eastAsia="標楷體" w:hAnsi="標楷體" w:hint="eastAsia"/>
        </w:rPr>
        <w:t>週</w:t>
      </w:r>
      <w:proofErr w:type="gramEnd"/>
      <w:r>
        <w:rPr>
          <w:rFonts w:eastAsia="標楷體" w:hAnsi="標楷體" w:hint="eastAsia"/>
        </w:rPr>
        <w:t>上課方式，逢單</w:t>
      </w:r>
      <w:proofErr w:type="gramStart"/>
      <w:r>
        <w:rPr>
          <w:rFonts w:eastAsia="標楷體" w:hAnsi="標楷體" w:hint="eastAsia"/>
        </w:rPr>
        <w:t>週</w:t>
      </w:r>
      <w:proofErr w:type="gramEnd"/>
      <w:r>
        <w:rPr>
          <w:rFonts w:eastAsia="標楷體" w:hAnsi="標楷體" w:hint="eastAsia"/>
        </w:rPr>
        <w:t>上課，每次三小時半（約</w:t>
      </w:r>
      <w:r>
        <w:rPr>
          <w:rFonts w:eastAsia="標楷體" w:hAnsi="標楷體" w:hint="eastAsia"/>
        </w:rPr>
        <w:t>200</w:t>
      </w:r>
      <w:r>
        <w:rPr>
          <w:rFonts w:eastAsia="標楷體" w:hAnsi="標楷體" w:hint="eastAsia"/>
        </w:rPr>
        <w:t>分鐘）</w:t>
      </w:r>
    </w:p>
    <w:p w:rsidR="00E9320D" w:rsidRPr="00E9320D" w:rsidRDefault="00E9320D" w:rsidP="00E9320D">
      <w:pPr>
        <w:ind w:left="708" w:hangingChars="295" w:hanging="708"/>
        <w:rPr>
          <w:rFonts w:eastAsia="標楷體" w:hAnsi="標楷體"/>
        </w:rPr>
      </w:pPr>
      <w:r>
        <w:rPr>
          <w:rFonts w:eastAsia="標楷體" w:hAnsi="標楷體" w:hint="eastAsia"/>
        </w:rPr>
        <w:t>（二）開學第一</w:t>
      </w:r>
      <w:proofErr w:type="gramStart"/>
      <w:r>
        <w:rPr>
          <w:rFonts w:eastAsia="標楷體" w:hAnsi="標楷體" w:hint="eastAsia"/>
        </w:rPr>
        <w:t>週</w:t>
      </w:r>
      <w:proofErr w:type="gramEnd"/>
      <w:r>
        <w:rPr>
          <w:rFonts w:eastAsia="標楷體" w:hAnsi="標楷體" w:hint="eastAsia"/>
        </w:rPr>
        <w:t>由授課教授講課乙</w:t>
      </w:r>
      <w:r w:rsidRPr="00E9320D">
        <w:rPr>
          <w:rFonts w:eastAsia="標楷體" w:hAnsi="標楷體" w:hint="eastAsia"/>
        </w:rPr>
        <w:t>次。</w:t>
      </w:r>
    </w:p>
    <w:p w:rsidR="00E9320D" w:rsidRPr="00E9320D" w:rsidRDefault="00E9320D" w:rsidP="00E9320D">
      <w:pPr>
        <w:ind w:left="708" w:hangingChars="295" w:hanging="708"/>
        <w:rPr>
          <w:rFonts w:eastAsia="標楷體" w:hAnsi="標楷體"/>
        </w:rPr>
      </w:pPr>
      <w:r w:rsidRPr="00E9320D">
        <w:rPr>
          <w:rFonts w:eastAsia="標楷體" w:hAnsi="標楷體" w:hint="eastAsia"/>
        </w:rPr>
        <w:t>（三）</w:t>
      </w:r>
      <w:r>
        <w:rPr>
          <w:rFonts w:eastAsia="標楷體" w:hAnsi="標楷體" w:hint="eastAsia"/>
        </w:rPr>
        <w:t>第二至第六次</w:t>
      </w:r>
      <w:r w:rsidRPr="00E9320D">
        <w:rPr>
          <w:rFonts w:eastAsia="標楷體" w:hAnsi="標楷體" w:hint="eastAsia"/>
        </w:rPr>
        <w:t>為「文獻</w:t>
      </w:r>
      <w:proofErr w:type="gramStart"/>
      <w:r w:rsidRPr="00E9320D">
        <w:rPr>
          <w:rFonts w:eastAsia="標楷體" w:hAnsi="標楷體" w:hint="eastAsia"/>
        </w:rPr>
        <w:t>研</w:t>
      </w:r>
      <w:proofErr w:type="gramEnd"/>
      <w:r w:rsidRPr="00E9320D">
        <w:rPr>
          <w:rFonts w:eastAsia="標楷體" w:hAnsi="標楷體" w:hint="eastAsia"/>
        </w:rPr>
        <w:t>讀報告」（</w:t>
      </w:r>
      <w:proofErr w:type="gramStart"/>
      <w:r w:rsidRPr="00E9320D">
        <w:rPr>
          <w:rFonts w:eastAsia="標楷體" w:hAnsi="標楷體" w:hint="eastAsia"/>
        </w:rPr>
        <w:t>佔</w:t>
      </w:r>
      <w:proofErr w:type="gramEnd"/>
      <w:r w:rsidRPr="00E9320D">
        <w:rPr>
          <w:rFonts w:eastAsia="標楷體" w:hAnsi="標楷體" w:hint="eastAsia"/>
        </w:rPr>
        <w:t>學期成績</w:t>
      </w:r>
      <w:r w:rsidRPr="00E9320D">
        <w:rPr>
          <w:rFonts w:eastAsia="標楷體" w:hAnsi="標楷體" w:hint="eastAsia"/>
        </w:rPr>
        <w:t>50</w:t>
      </w:r>
      <w:r w:rsidRPr="00E9320D">
        <w:rPr>
          <w:rFonts w:eastAsia="標楷體" w:hAnsi="標楷體" w:hint="eastAsia"/>
        </w:rPr>
        <w:t>％）資料由授課教師指</w:t>
      </w:r>
      <w:r w:rsidR="001E63D8">
        <w:rPr>
          <w:rFonts w:eastAsia="標楷體" w:hAnsi="標楷體" w:hint="eastAsia"/>
        </w:rPr>
        <w:t>定</w:t>
      </w:r>
      <w:r w:rsidRPr="00E9320D">
        <w:rPr>
          <w:rFonts w:eastAsia="標楷體" w:hAnsi="標楷體" w:hint="eastAsia"/>
        </w:rPr>
        <w:t>分配。</w:t>
      </w:r>
    </w:p>
    <w:p w:rsidR="00E9320D" w:rsidRPr="00E9320D" w:rsidRDefault="001E63D8" w:rsidP="00E9320D">
      <w:pPr>
        <w:ind w:left="708" w:hangingChars="295" w:hanging="708"/>
        <w:rPr>
          <w:rFonts w:eastAsia="標楷體" w:hAnsi="標楷體"/>
        </w:rPr>
      </w:pPr>
      <w:r w:rsidRPr="001C08BE">
        <w:rPr>
          <w:rFonts w:eastAsia="標楷體" w:hAnsi="標楷體"/>
        </w:rPr>
        <w:t>（四）</w:t>
      </w:r>
      <w:r>
        <w:rPr>
          <w:rFonts w:eastAsia="標楷體" w:hAnsi="標楷體" w:hint="eastAsia"/>
        </w:rPr>
        <w:t>第七次至第九次為「專題研討報告」，選修同學需自選</w:t>
      </w:r>
      <w:proofErr w:type="gramStart"/>
      <w:r>
        <w:rPr>
          <w:rFonts w:eastAsia="標楷體" w:hAnsi="標楷體" w:hint="eastAsia"/>
        </w:rPr>
        <w:t>一</w:t>
      </w:r>
      <w:proofErr w:type="gramEnd"/>
      <w:r>
        <w:rPr>
          <w:rFonts w:eastAsia="標楷體" w:hAnsi="標楷體" w:hint="eastAsia"/>
        </w:rPr>
        <w:t>合適主題，撰寫一萬</w:t>
      </w:r>
      <w:r w:rsidR="00E9320D" w:rsidRPr="00E9320D">
        <w:rPr>
          <w:rFonts w:eastAsia="標楷體" w:hAnsi="標楷體" w:hint="eastAsia"/>
        </w:rPr>
        <w:t>字左右</w:t>
      </w:r>
      <w:r w:rsidR="00312B3E" w:rsidRPr="00312B3E">
        <w:rPr>
          <w:rFonts w:eastAsia="標楷體" w:hAnsi="標楷體" w:hint="eastAsia"/>
          <w:color w:val="FF0000"/>
        </w:rPr>
        <w:t>的</w:t>
      </w:r>
      <w:r w:rsidR="00E9320D" w:rsidRPr="00E9320D">
        <w:rPr>
          <w:rFonts w:eastAsia="標楷體" w:hAnsi="標楷體" w:hint="eastAsia"/>
        </w:rPr>
        <w:t>書面報告，</w:t>
      </w:r>
      <w:proofErr w:type="gramStart"/>
      <w:r w:rsidR="00E9320D" w:rsidRPr="00E9320D">
        <w:rPr>
          <w:rFonts w:eastAsia="標楷體" w:hAnsi="標楷體" w:hint="eastAsia"/>
        </w:rPr>
        <w:t>於課中</w:t>
      </w:r>
      <w:proofErr w:type="gramEnd"/>
      <w:r w:rsidR="00E9320D" w:rsidRPr="00E9320D">
        <w:rPr>
          <w:rFonts w:eastAsia="標楷體" w:hAnsi="標楷體" w:hint="eastAsia"/>
        </w:rPr>
        <w:t>討論，經研討後，再修改，提出作為期末成績考核（</w:t>
      </w:r>
      <w:proofErr w:type="gramStart"/>
      <w:r w:rsidR="00E9320D" w:rsidRPr="00E9320D">
        <w:rPr>
          <w:rFonts w:eastAsia="標楷體" w:hAnsi="標楷體" w:hint="eastAsia"/>
        </w:rPr>
        <w:t>佔</w:t>
      </w:r>
      <w:proofErr w:type="gramEnd"/>
      <w:r w:rsidR="00E9320D" w:rsidRPr="00E9320D">
        <w:rPr>
          <w:rFonts w:eastAsia="標楷體" w:hAnsi="標楷體" w:hint="eastAsia"/>
        </w:rPr>
        <w:t>學期成績</w:t>
      </w:r>
      <w:r w:rsidR="00E9320D" w:rsidRPr="00E9320D">
        <w:rPr>
          <w:rFonts w:eastAsia="標楷體" w:hAnsi="標楷體" w:hint="eastAsia"/>
        </w:rPr>
        <w:t>50</w:t>
      </w:r>
      <w:r w:rsidR="00E9320D" w:rsidRPr="00E9320D">
        <w:rPr>
          <w:rFonts w:eastAsia="標楷體" w:hAnsi="標楷體" w:hint="eastAsia"/>
        </w:rPr>
        <w:t>％）之依據。</w:t>
      </w:r>
    </w:p>
    <w:sectPr w:rsidR="00E9320D" w:rsidRPr="00E9320D" w:rsidSect="009A4AA4">
      <w:footerReference w:type="default" r:id="rId7"/>
      <w:pgSz w:w="11907" w:h="16840" w:code="9"/>
      <w:pgMar w:top="851" w:right="1418" w:bottom="851" w:left="1418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07" w:rsidRDefault="00162707" w:rsidP="00906394">
      <w:r>
        <w:separator/>
      </w:r>
    </w:p>
  </w:endnote>
  <w:endnote w:type="continuationSeparator" w:id="0">
    <w:p w:rsidR="00162707" w:rsidRDefault="00162707" w:rsidP="00906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F6F" w:rsidRDefault="000C5B18">
    <w:pPr>
      <w:pStyle w:val="a3"/>
      <w:jc w:val="center"/>
    </w:pPr>
    <w:r>
      <w:fldChar w:fldCharType="begin"/>
    </w:r>
    <w:r w:rsidR="00E8626C">
      <w:instrText xml:space="preserve"> PAGE   \* MERGEFORMAT </w:instrText>
    </w:r>
    <w:r>
      <w:fldChar w:fldCharType="separate"/>
    </w:r>
    <w:r w:rsidR="00FB505C" w:rsidRPr="00FB505C">
      <w:rPr>
        <w:noProof/>
        <w:lang w:val="zh-TW"/>
      </w:rPr>
      <w:t>2</w:t>
    </w:r>
    <w:r>
      <w:fldChar w:fldCharType="end"/>
    </w:r>
  </w:p>
  <w:p w:rsidR="00672F6F" w:rsidRDefault="001627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07" w:rsidRDefault="00162707" w:rsidP="00906394">
      <w:r>
        <w:separator/>
      </w:r>
    </w:p>
  </w:footnote>
  <w:footnote w:type="continuationSeparator" w:id="0">
    <w:p w:rsidR="00162707" w:rsidRDefault="00162707" w:rsidP="00906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7B99"/>
    <w:multiLevelType w:val="hybridMultilevel"/>
    <w:tmpl w:val="7D3259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D383D2E">
      <w:start w:val="1"/>
      <w:numFmt w:val="taiwaneseCountingThousand"/>
      <w:suff w:val="space"/>
      <w:lvlText w:val="（%2）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CB6582"/>
    <w:multiLevelType w:val="hybridMultilevel"/>
    <w:tmpl w:val="F7A2C5C8"/>
    <w:lvl w:ilvl="0" w:tplc="ECB68FC8">
      <w:start w:val="1"/>
      <w:numFmt w:val="ideographDigital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43793DCB"/>
    <w:multiLevelType w:val="hybridMultilevel"/>
    <w:tmpl w:val="D6F4FA2E"/>
    <w:lvl w:ilvl="0" w:tplc="3CD4EF7C">
      <w:start w:val="1"/>
      <w:numFmt w:val="taiwaneseCountingThousand"/>
      <w:suff w:val="space"/>
      <w:lvlText w:val="（%1）"/>
      <w:lvlJc w:val="left"/>
      <w:pPr>
        <w:ind w:left="786" w:hanging="360"/>
      </w:pPr>
      <w:rPr>
        <w:rFonts w:ascii="Times New Roman" w:eastAsia="新細明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4CA5229E"/>
    <w:multiLevelType w:val="hybridMultilevel"/>
    <w:tmpl w:val="8C2878FA"/>
    <w:lvl w:ilvl="0" w:tplc="951E25D0">
      <w:start w:val="1"/>
      <w:numFmt w:val="taiwaneseCountingThousand"/>
      <w:pStyle w:val="1"/>
      <w:suff w:val="space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564735B7"/>
    <w:multiLevelType w:val="hybridMultilevel"/>
    <w:tmpl w:val="1E16A03A"/>
    <w:lvl w:ilvl="0" w:tplc="41666AEA">
      <w:start w:val="1"/>
      <w:numFmt w:val="taiwaneseCountingThousand"/>
      <w:suff w:val="space"/>
      <w:lvlText w:val="（%1）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75657310"/>
    <w:multiLevelType w:val="hybridMultilevel"/>
    <w:tmpl w:val="7E38CB0C"/>
    <w:lvl w:ilvl="0" w:tplc="038ECF20">
      <w:start w:val="1"/>
      <w:numFmt w:val="taiwaneseCountingThousand"/>
      <w:suff w:val="space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751"/>
    <w:rsid w:val="00067538"/>
    <w:rsid w:val="00084988"/>
    <w:rsid w:val="000C5B18"/>
    <w:rsid w:val="000E1B4C"/>
    <w:rsid w:val="00162707"/>
    <w:rsid w:val="001C08BE"/>
    <w:rsid w:val="001E63D8"/>
    <w:rsid w:val="00216424"/>
    <w:rsid w:val="00312B3E"/>
    <w:rsid w:val="0059091D"/>
    <w:rsid w:val="006019AA"/>
    <w:rsid w:val="006749CE"/>
    <w:rsid w:val="006B0048"/>
    <w:rsid w:val="00777714"/>
    <w:rsid w:val="007D107A"/>
    <w:rsid w:val="008F6945"/>
    <w:rsid w:val="00906394"/>
    <w:rsid w:val="009A4AA4"/>
    <w:rsid w:val="00A16027"/>
    <w:rsid w:val="00AE4751"/>
    <w:rsid w:val="00BF3549"/>
    <w:rsid w:val="00C32EC3"/>
    <w:rsid w:val="00C93141"/>
    <w:rsid w:val="00CE15DE"/>
    <w:rsid w:val="00D679AE"/>
    <w:rsid w:val="00E67BC2"/>
    <w:rsid w:val="00E8626C"/>
    <w:rsid w:val="00E9320D"/>
    <w:rsid w:val="00EC0227"/>
    <w:rsid w:val="00FB1231"/>
    <w:rsid w:val="00FB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4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E475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樣式1"/>
    <w:basedOn w:val="a"/>
    <w:link w:val="10"/>
    <w:qFormat/>
    <w:rsid w:val="00AE4751"/>
    <w:pPr>
      <w:numPr>
        <w:numId w:val="5"/>
      </w:numPr>
      <w:jc w:val="both"/>
    </w:pPr>
  </w:style>
  <w:style w:type="character" w:customStyle="1" w:styleId="10">
    <w:name w:val="樣式1 字元"/>
    <w:basedOn w:val="a0"/>
    <w:link w:val="1"/>
    <w:rsid w:val="00AE475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0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6394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67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正牌殺手</cp:lastModifiedBy>
  <cp:revision>2</cp:revision>
  <dcterms:created xsi:type="dcterms:W3CDTF">2017-01-17T09:30:00Z</dcterms:created>
  <dcterms:modified xsi:type="dcterms:W3CDTF">2017-01-17T09:30:00Z</dcterms:modified>
</cp:coreProperties>
</file>